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ED52">
      <w:pPr>
        <w:jc w:val="center"/>
        <w:rPr>
          <w:rFonts w:hint="eastAsia" w:ascii="方正小标宋简体" w:eastAsia="方正小标宋简体"/>
          <w:b/>
          <w:bCs/>
          <w:sz w:val="32"/>
          <w:szCs w:val="32"/>
        </w:rPr>
      </w:pPr>
      <w:bookmarkStart w:id="0" w:name="_GoBack"/>
      <w:bookmarkEnd w:id="0"/>
      <w:r>
        <w:rPr>
          <w:rFonts w:hint="eastAsia" w:ascii="方正小标宋简体" w:eastAsia="方正小标宋简体"/>
          <w:b/>
          <w:bCs/>
          <w:sz w:val="32"/>
          <w:szCs w:val="32"/>
        </w:rPr>
        <w:t>浙江师范大学</w:t>
      </w:r>
      <w:r>
        <w:rPr>
          <w:rFonts w:hint="eastAsia" w:ascii="方正小标宋简体" w:eastAsia="方正小标宋简体"/>
          <w:b/>
          <w:bCs/>
          <w:sz w:val="32"/>
          <w:szCs w:val="32"/>
          <w:lang w:val="en-US" w:eastAsia="zh-CN"/>
        </w:rPr>
        <w:t>教育学院</w:t>
      </w:r>
      <w:r>
        <w:rPr>
          <w:rFonts w:hint="eastAsia" w:ascii="方正小标宋简体" w:eastAsia="方正小标宋简体"/>
          <w:b/>
          <w:bCs/>
          <w:sz w:val="32"/>
          <w:szCs w:val="32"/>
        </w:rPr>
        <w:t>第十</w:t>
      </w:r>
      <w:r>
        <w:rPr>
          <w:rFonts w:hint="eastAsia" w:ascii="方正小标宋简体" w:eastAsia="方正小标宋简体"/>
          <w:b/>
          <w:bCs/>
          <w:sz w:val="32"/>
          <w:szCs w:val="32"/>
          <w:lang w:val="en-US" w:eastAsia="zh-CN"/>
        </w:rPr>
        <w:t>一</w:t>
      </w:r>
      <w:r>
        <w:rPr>
          <w:rFonts w:hint="eastAsia" w:ascii="方正小标宋简体" w:eastAsia="方正小标宋简体"/>
          <w:b/>
          <w:bCs/>
          <w:sz w:val="32"/>
          <w:szCs w:val="32"/>
        </w:rPr>
        <w:t>期学生党建课题结题名单</w:t>
      </w:r>
    </w:p>
    <w:p w14:paraId="5633498E">
      <w:pPr>
        <w:jc w:val="center"/>
        <w:rPr>
          <w:rFonts w:hint="eastAsia" w:ascii="方正小标宋简体" w:eastAsia="方正小标宋简体"/>
          <w:b/>
          <w:bCs/>
          <w:sz w:val="32"/>
          <w:szCs w:val="32"/>
        </w:rPr>
      </w:pPr>
    </w:p>
    <w:p w14:paraId="6F44606A">
      <w:pPr>
        <w:spacing w:line="400" w:lineRule="exact"/>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lang w:val="en-US" w:eastAsia="zh-CN"/>
        </w:rPr>
        <w:t>各课题负责人</w:t>
      </w:r>
      <w:r>
        <w:rPr>
          <w:rFonts w:hint="eastAsia" w:ascii="仿宋_GB2312" w:hAnsi="仿宋_GB2312" w:eastAsia="仿宋_GB2312" w:cs="仿宋_GB2312"/>
          <w:color w:val="000000"/>
          <w:sz w:val="24"/>
          <w:shd w:val="clear" w:color="auto" w:fill="FFFFFF"/>
        </w:rPr>
        <w:t>：</w:t>
      </w:r>
    </w:p>
    <w:p w14:paraId="2D33BA2B">
      <w:pPr>
        <w:spacing w:line="400" w:lineRule="exact"/>
        <w:ind w:firstLine="480" w:firstLineChars="200"/>
        <w:rPr>
          <w:rFonts w:hint="eastAsia" w:ascii="仿宋_GB2312" w:hAnsi="仿宋_GB2312" w:eastAsia="仿宋_GB2312" w:cs="仿宋_GB2312"/>
          <w:color w:val="000000"/>
          <w:sz w:val="24"/>
          <w:shd w:val="clear" w:color="FFFFFF" w:fill="FFFFFF"/>
        </w:rPr>
      </w:pPr>
      <w:r>
        <w:rPr>
          <w:rFonts w:ascii="仿宋_GB2312" w:hAnsi="仿宋_GB2312" w:eastAsia="仿宋_GB2312" w:cs="仿宋_GB2312"/>
          <w:color w:val="000000"/>
          <w:sz w:val="24"/>
          <w:shd w:val="clear" w:color="auto" w:fill="FFFFFF"/>
        </w:rPr>
        <w:t>为更好</w:t>
      </w:r>
      <w:r>
        <w:rPr>
          <w:rFonts w:hint="eastAsia" w:ascii="仿宋_GB2312" w:hAnsi="仿宋_GB2312" w:eastAsia="仿宋_GB2312" w:cs="仿宋_GB2312"/>
          <w:color w:val="000000"/>
          <w:sz w:val="24"/>
          <w:shd w:val="clear" w:color="auto" w:fill="FFFFFF"/>
        </w:rPr>
        <w:t>地提升学生党建研究能力</w:t>
      </w:r>
      <w:r>
        <w:rPr>
          <w:rFonts w:ascii="仿宋_GB2312" w:hAnsi="仿宋_GB2312" w:eastAsia="仿宋_GB2312" w:cs="仿宋_GB2312"/>
          <w:color w:val="000000"/>
          <w:sz w:val="24"/>
          <w:shd w:val="clear" w:color="auto" w:fill="FFFFFF"/>
        </w:rPr>
        <w:t>，提</w:t>
      </w:r>
      <w:r>
        <w:rPr>
          <w:rFonts w:hint="eastAsia" w:ascii="仿宋_GB2312" w:hAnsi="仿宋_GB2312" w:eastAsia="仿宋_GB2312" w:cs="仿宋_GB2312"/>
          <w:color w:val="000000"/>
          <w:sz w:val="24"/>
          <w:shd w:val="clear" w:color="auto" w:fill="FFFFFF"/>
        </w:rPr>
        <w:t>高学校党建工作水平</w:t>
      </w:r>
      <w:r>
        <w:rPr>
          <w:rFonts w:ascii="仿宋_GB2312" w:hAnsi="仿宋_GB2312" w:eastAsia="仿宋_GB2312" w:cs="仿宋_GB2312"/>
          <w:color w:val="000000"/>
          <w:sz w:val="24"/>
          <w:shd w:val="clear" w:color="auto" w:fill="FFFFFF"/>
        </w:rPr>
        <w:t>，培育更多的</w:t>
      </w:r>
      <w:r>
        <w:rPr>
          <w:rFonts w:hint="eastAsia" w:ascii="仿宋_GB2312" w:hAnsi="仿宋_GB2312" w:eastAsia="仿宋_GB2312" w:cs="仿宋_GB2312"/>
          <w:color w:val="000000"/>
          <w:sz w:val="24"/>
          <w:shd w:val="clear" w:color="auto" w:fill="FFFFFF"/>
        </w:rPr>
        <w:t>党建研究</w:t>
      </w:r>
      <w:r>
        <w:rPr>
          <w:rFonts w:ascii="仿宋_GB2312" w:hAnsi="仿宋_GB2312" w:eastAsia="仿宋_GB2312" w:cs="仿宋_GB2312"/>
          <w:color w:val="000000"/>
          <w:sz w:val="24"/>
          <w:shd w:val="clear" w:color="auto" w:fill="FFFFFF"/>
        </w:rPr>
        <w:t>成果。经课题组申请</w:t>
      </w:r>
      <w:r>
        <w:rPr>
          <w:rFonts w:hint="eastAsia" w:ascii="仿宋_GB2312" w:hAnsi="仿宋_GB2312" w:eastAsia="仿宋_GB2312" w:cs="仿宋_GB2312"/>
          <w:color w:val="000000"/>
          <w:sz w:val="24"/>
          <w:shd w:val="clear" w:color="auto" w:fill="FFFFFF"/>
        </w:rPr>
        <w:t>、</w:t>
      </w:r>
      <w:r>
        <w:rPr>
          <w:rFonts w:ascii="仿宋_GB2312" w:hAnsi="仿宋_GB2312" w:eastAsia="仿宋_GB2312" w:cs="仿宋_GB2312"/>
          <w:color w:val="000000"/>
          <w:sz w:val="24"/>
          <w:shd w:val="clear" w:color="auto" w:fill="FFFFFF"/>
        </w:rPr>
        <w:t>专家</w:t>
      </w:r>
      <w:r>
        <w:rPr>
          <w:rFonts w:hint="eastAsia" w:ascii="仿宋_GB2312" w:hAnsi="仿宋_GB2312" w:eastAsia="仿宋_GB2312" w:cs="仿宋_GB2312"/>
          <w:color w:val="000000"/>
          <w:sz w:val="24"/>
          <w:shd w:val="clear" w:color="auto" w:fill="FFFFFF"/>
        </w:rPr>
        <w:t>组评审，</w:t>
      </w:r>
      <w:r>
        <w:rPr>
          <w:rFonts w:ascii="仿宋_GB2312" w:hAnsi="仿宋_GB2312" w:eastAsia="仿宋_GB2312" w:cs="仿宋_GB2312"/>
          <w:color w:val="000000"/>
          <w:sz w:val="24"/>
          <w:shd w:val="clear" w:color="auto" w:fill="FFFFFF"/>
        </w:rPr>
        <w:t>同意</w:t>
      </w:r>
      <w:r>
        <w:rPr>
          <w:rFonts w:hint="eastAsia" w:ascii="仿宋_GB2312" w:hAnsi="仿宋_GB2312" w:eastAsia="仿宋_GB2312" w:cs="仿宋_GB2312"/>
          <w:color w:val="000000"/>
          <w:sz w:val="24"/>
          <w:shd w:val="clear" w:color="auto" w:fill="FFFFFF"/>
          <w:lang w:val="en-US" w:eastAsia="zh-CN"/>
        </w:rPr>
        <w:t>27</w:t>
      </w:r>
      <w:r>
        <w:rPr>
          <w:rFonts w:hint="eastAsia" w:ascii="仿宋_GB2312" w:hAnsi="仿宋_GB2312" w:eastAsia="仿宋_GB2312" w:cs="仿宋_GB2312"/>
          <w:color w:val="000000"/>
          <w:sz w:val="24"/>
          <w:shd w:val="clear" w:color="auto" w:fill="FFFFFF"/>
        </w:rPr>
        <w:t>项</w:t>
      </w:r>
      <w:r>
        <w:rPr>
          <w:rFonts w:hint="eastAsia" w:ascii="仿宋_GB2312" w:hAnsi="仿宋_GB2312" w:eastAsia="仿宋_GB2312" w:cs="仿宋_GB2312"/>
          <w:color w:val="000000"/>
          <w:sz w:val="24"/>
          <w:shd w:val="clear" w:color="auto" w:fill="FFFFFF"/>
          <w:lang w:val="en-US" w:eastAsia="zh-CN"/>
        </w:rPr>
        <w:t>教育学院</w:t>
      </w:r>
      <w:r>
        <w:rPr>
          <w:rFonts w:ascii="仿宋_GB2312" w:hAnsi="仿宋_GB2312" w:eastAsia="仿宋_GB2312" w:cs="仿宋_GB2312"/>
          <w:color w:val="000000"/>
          <w:sz w:val="24"/>
          <w:shd w:val="clear" w:color="FFFFFF" w:fill="FFFFFF"/>
        </w:rPr>
        <w:t>第</w:t>
      </w:r>
      <w:r>
        <w:rPr>
          <w:rFonts w:hint="eastAsia" w:ascii="仿宋_GB2312" w:hAnsi="仿宋_GB2312" w:eastAsia="仿宋_GB2312" w:cs="仿宋_GB2312"/>
          <w:color w:val="000000"/>
          <w:sz w:val="24"/>
          <w:shd w:val="clear" w:color="FFFFFF" w:fill="FFFFFF"/>
          <w:lang w:val="en-US" w:eastAsia="zh-CN"/>
        </w:rPr>
        <w:t>十一</w:t>
      </w:r>
      <w:r>
        <w:rPr>
          <w:rFonts w:ascii="仿宋_GB2312" w:hAnsi="仿宋_GB2312" w:eastAsia="仿宋_GB2312" w:cs="仿宋_GB2312"/>
          <w:color w:val="000000"/>
          <w:sz w:val="24"/>
          <w:shd w:val="clear" w:color="FFFFFF" w:fill="FFFFFF"/>
        </w:rPr>
        <w:t>期学生党建研究课题</w:t>
      </w:r>
      <w:r>
        <w:rPr>
          <w:rFonts w:hint="eastAsia" w:ascii="仿宋_GB2312" w:hAnsi="仿宋_GB2312" w:eastAsia="仿宋_GB2312" w:cs="仿宋_GB2312"/>
          <w:color w:val="000000"/>
          <w:sz w:val="24"/>
          <w:shd w:val="clear" w:color="FFFFFF" w:fill="FFFFFF"/>
        </w:rPr>
        <w:t>结题，具体名单如下。</w:t>
      </w:r>
    </w:p>
    <w:p w14:paraId="11EB40EB">
      <w:pPr>
        <w:spacing w:line="400" w:lineRule="exact"/>
        <w:ind w:firstLine="480" w:firstLineChars="200"/>
        <w:rPr>
          <w:rFonts w:hint="eastAsia" w:ascii="仿宋_GB2312" w:hAnsi="仿宋_GB2312" w:eastAsia="仿宋_GB2312" w:cs="仿宋_GB2312"/>
          <w:color w:val="000000"/>
          <w:sz w:val="24"/>
          <w:shd w:val="clear" w:color="FFFFFF" w:fill="FFFFFF"/>
        </w:rPr>
      </w:pPr>
    </w:p>
    <w:tbl>
      <w:tblPr>
        <w:tblStyle w:val="2"/>
        <w:tblW w:w="9747" w:type="dxa"/>
        <w:tblInd w:w="-594" w:type="dxa"/>
        <w:tblLayout w:type="autofit"/>
        <w:tblCellMar>
          <w:top w:w="0" w:type="dxa"/>
          <w:left w:w="108" w:type="dxa"/>
          <w:bottom w:w="0" w:type="dxa"/>
          <w:right w:w="108" w:type="dxa"/>
        </w:tblCellMar>
      </w:tblPr>
      <w:tblGrid>
        <w:gridCol w:w="817"/>
        <w:gridCol w:w="1354"/>
        <w:gridCol w:w="6611"/>
        <w:gridCol w:w="965"/>
      </w:tblGrid>
      <w:tr w14:paraId="100FEB89">
        <w:tblPrEx>
          <w:tblCellMar>
            <w:top w:w="0" w:type="dxa"/>
            <w:left w:w="108" w:type="dxa"/>
            <w:bottom w:w="0" w:type="dxa"/>
            <w:right w:w="108" w:type="dxa"/>
          </w:tblCellMar>
        </w:tblPrEx>
        <w:trPr>
          <w:trHeight w:val="365"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79E09C">
            <w:pPr>
              <w:widowControl/>
              <w:jc w:val="center"/>
              <w:rPr>
                <w:rFonts w:ascii="黑体" w:hAnsi="宋体" w:eastAsia="黑体" w:cs="黑体"/>
                <w:b/>
                <w:bCs/>
                <w:color w:val="000000"/>
                <w:szCs w:val="21"/>
              </w:rPr>
            </w:pPr>
            <w:r>
              <w:rPr>
                <w:rFonts w:hint="eastAsia" w:ascii="黑体" w:hAnsi="宋体" w:eastAsia="黑体" w:cs="黑体"/>
                <w:b/>
                <w:bCs/>
                <w:color w:val="000000"/>
                <w:kern w:val="0"/>
                <w:szCs w:val="21"/>
              </w:rPr>
              <w:t>编号</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AA841C">
            <w:pPr>
              <w:widowControl/>
              <w:jc w:val="center"/>
              <w:rPr>
                <w:rFonts w:ascii="黑体" w:hAnsi="宋体" w:eastAsia="黑体" w:cs="黑体"/>
                <w:b/>
                <w:bCs/>
                <w:color w:val="000000"/>
                <w:szCs w:val="21"/>
              </w:rPr>
            </w:pPr>
            <w:r>
              <w:rPr>
                <w:rFonts w:hint="eastAsia" w:ascii="黑体" w:hAnsi="宋体" w:eastAsia="黑体" w:cs="黑体"/>
                <w:b/>
                <w:bCs/>
                <w:color w:val="000000"/>
                <w:kern w:val="0"/>
                <w:szCs w:val="21"/>
              </w:rPr>
              <w:t>负责人</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9AEBEF">
            <w:pPr>
              <w:widowControl/>
              <w:jc w:val="center"/>
              <w:rPr>
                <w:rFonts w:ascii="黑体" w:hAnsi="宋体" w:eastAsia="黑体" w:cs="黑体"/>
                <w:b/>
                <w:bCs/>
                <w:color w:val="000000"/>
                <w:szCs w:val="21"/>
              </w:rPr>
            </w:pPr>
            <w:r>
              <w:rPr>
                <w:rFonts w:hint="eastAsia" w:ascii="黑体" w:hAnsi="宋体" w:eastAsia="黑体" w:cs="黑体"/>
                <w:b/>
                <w:bCs/>
                <w:color w:val="000000"/>
                <w:kern w:val="0"/>
                <w:szCs w:val="21"/>
              </w:rPr>
              <w:t>课题名称</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59E76C">
            <w:pPr>
              <w:widowControl/>
              <w:jc w:val="center"/>
              <w:rPr>
                <w:rFonts w:ascii="黑体" w:hAnsi="宋体" w:eastAsia="黑体" w:cs="黑体"/>
                <w:b/>
                <w:bCs/>
                <w:color w:val="000000"/>
                <w:szCs w:val="21"/>
              </w:rPr>
            </w:pPr>
            <w:r>
              <w:rPr>
                <w:rFonts w:hint="eastAsia" w:ascii="黑体" w:hAnsi="宋体" w:eastAsia="黑体" w:cs="黑体"/>
                <w:b/>
                <w:bCs/>
                <w:color w:val="000000"/>
                <w:kern w:val="0"/>
                <w:szCs w:val="21"/>
              </w:rPr>
              <w:t>成绩</w:t>
            </w:r>
          </w:p>
        </w:tc>
      </w:tr>
      <w:tr w14:paraId="6DBF1342">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4DCB9D51">
            <w:pPr>
              <w:widowControl/>
              <w:jc w:val="center"/>
              <w:rPr>
                <w:rFonts w:ascii="微软雅黑" w:hAnsi="微软雅黑" w:eastAsia="微软雅黑" w:cs="微软雅黑"/>
                <w:color w:val="000000"/>
                <w:szCs w:val="21"/>
              </w:rPr>
            </w:pPr>
            <w:r>
              <w:rPr>
                <w:rFonts w:ascii="微软雅黑" w:hAnsi="微软雅黑" w:eastAsia="微软雅黑"/>
                <w:szCs w:val="21"/>
              </w:rPr>
              <w:t>1</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5F0F42">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李昕怡</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D920DB">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在新时代背景下建立高校党校“体验式学习”模式途径探析——以浙江师范大学为例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CE4F26">
            <w:pPr>
              <w:widowControl/>
              <w:jc w:val="center"/>
              <w:rPr>
                <w:rFonts w:hint="eastAsia" w:ascii="仿宋_GB2312" w:hAnsi="宋体" w:eastAsia="仿宋_GB2312" w:cs="仿宋_GB2312"/>
                <w:color w:val="000000"/>
                <w:szCs w:val="21"/>
                <w:lang w:eastAsia="zh-CN"/>
              </w:rPr>
            </w:pPr>
            <w:r>
              <w:rPr>
                <w:rFonts w:hint="eastAsia" w:ascii="仿宋_GB2312" w:hAnsi="宋体" w:eastAsia="仿宋_GB2312" w:cs="仿宋_GB2312"/>
                <w:color w:val="000000"/>
                <w:kern w:val="0"/>
                <w:szCs w:val="21"/>
                <w:lang w:val="en-US" w:eastAsia="zh-CN"/>
              </w:rPr>
              <w:t>优秀</w:t>
            </w:r>
          </w:p>
        </w:tc>
      </w:tr>
      <w:tr w14:paraId="26931D22">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5652BC7E">
            <w:pPr>
              <w:widowControl/>
              <w:jc w:val="center"/>
              <w:rPr>
                <w:rFonts w:ascii="微软雅黑" w:hAnsi="微软雅黑" w:eastAsia="微软雅黑" w:cs="微软雅黑"/>
                <w:color w:val="000000"/>
                <w:szCs w:val="21"/>
              </w:rPr>
            </w:pPr>
            <w:r>
              <w:rPr>
                <w:rFonts w:ascii="微软雅黑" w:hAnsi="微软雅黑" w:eastAsia="微软雅黑"/>
                <w:szCs w:val="21"/>
              </w:rPr>
              <w:t>2</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160ECE">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王慧</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42D74B">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ChatGPT赋能高校党建培训的路径与展望</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4A25A6">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val="en-US" w:eastAsia="zh-CN"/>
              </w:rPr>
              <w:t>优秀</w:t>
            </w:r>
          </w:p>
        </w:tc>
      </w:tr>
      <w:tr w14:paraId="594A06AF">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74D1744B">
            <w:pPr>
              <w:widowControl/>
              <w:jc w:val="center"/>
              <w:rPr>
                <w:rFonts w:ascii="微软雅黑" w:hAnsi="微软雅黑" w:eastAsia="微软雅黑" w:cs="微软雅黑"/>
                <w:color w:val="000000"/>
                <w:szCs w:val="21"/>
              </w:rPr>
            </w:pPr>
            <w:r>
              <w:rPr>
                <w:rFonts w:ascii="微软雅黑" w:hAnsi="微软雅黑" w:eastAsia="微软雅黑"/>
                <w:szCs w:val="21"/>
              </w:rPr>
              <w:t>3</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67645F">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夏倩禧</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82658D">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高校暑期社会实践经验对主题党日活动方案样板化提升路径探究——以教育学院为例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7ED8A4">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val="en-US" w:eastAsia="zh-CN"/>
              </w:rPr>
              <w:t>优秀</w:t>
            </w:r>
          </w:p>
        </w:tc>
      </w:tr>
      <w:tr w14:paraId="7CF6E5E4">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07EF5233">
            <w:pPr>
              <w:widowControl/>
              <w:jc w:val="center"/>
              <w:rPr>
                <w:rFonts w:ascii="微软雅黑" w:hAnsi="微软雅黑" w:eastAsia="微软雅黑" w:cs="微软雅黑"/>
                <w:color w:val="000000"/>
                <w:szCs w:val="21"/>
              </w:rPr>
            </w:pPr>
            <w:r>
              <w:rPr>
                <w:rFonts w:ascii="微软雅黑" w:hAnsi="微软雅黑" w:eastAsia="微软雅黑"/>
                <w:szCs w:val="21"/>
              </w:rPr>
              <w:t>4</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313437">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潘倩倩</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ACD29D">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 xml:space="preserve">传统文化与新时代党员教育：儒家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思想的启示</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188018">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val="en-US" w:eastAsia="zh-CN"/>
              </w:rPr>
              <w:t>优秀</w:t>
            </w:r>
          </w:p>
        </w:tc>
      </w:tr>
      <w:tr w14:paraId="4C17AC68">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26DE5F7B">
            <w:pPr>
              <w:widowControl/>
              <w:jc w:val="center"/>
              <w:rPr>
                <w:rFonts w:ascii="微软雅黑" w:hAnsi="微软雅黑" w:eastAsia="微软雅黑" w:cs="微软雅黑"/>
                <w:color w:val="000000"/>
                <w:szCs w:val="21"/>
              </w:rPr>
            </w:pPr>
            <w:r>
              <w:rPr>
                <w:rFonts w:ascii="微软雅黑" w:hAnsi="微软雅黑" w:eastAsia="微软雅黑"/>
                <w:szCs w:val="21"/>
              </w:rPr>
              <w:t>5</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01AAB4">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潘娇</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FE9E00">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智慧党建下高校流动学生党员“三会一课”的实效研究——以浙江师范大学为例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001AFA">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val="en-US" w:eastAsia="zh-CN"/>
              </w:rPr>
              <w:t>优秀</w:t>
            </w:r>
          </w:p>
        </w:tc>
      </w:tr>
      <w:tr w14:paraId="7B89A865">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433DE57A">
            <w:pPr>
              <w:widowControl/>
              <w:jc w:val="center"/>
              <w:rPr>
                <w:rFonts w:ascii="微软雅黑" w:hAnsi="微软雅黑" w:eastAsia="微软雅黑" w:cs="微软雅黑"/>
                <w:color w:val="000000"/>
                <w:szCs w:val="21"/>
              </w:rPr>
            </w:pPr>
            <w:r>
              <w:rPr>
                <w:rFonts w:ascii="微软雅黑" w:hAnsi="微软雅黑" w:eastAsia="微软雅黑"/>
                <w:szCs w:val="21"/>
              </w:rPr>
              <w:t>6</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994F0A">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王洁</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7A04AD">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课程思政一体化趋势下师范生课程思政能力现状调查</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125D15">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val="en-US" w:eastAsia="zh-CN"/>
              </w:rPr>
              <w:t>优秀</w:t>
            </w:r>
          </w:p>
        </w:tc>
      </w:tr>
      <w:tr w14:paraId="0E99DA71">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6B0E2C9D">
            <w:pPr>
              <w:widowControl/>
              <w:jc w:val="center"/>
              <w:rPr>
                <w:rFonts w:ascii="微软雅黑" w:hAnsi="微软雅黑" w:eastAsia="微软雅黑" w:cs="微软雅黑"/>
                <w:color w:val="000000"/>
                <w:szCs w:val="21"/>
              </w:rPr>
            </w:pPr>
            <w:r>
              <w:rPr>
                <w:rFonts w:ascii="微软雅黑" w:hAnsi="微软雅黑" w:eastAsia="微软雅黑"/>
                <w:szCs w:val="21"/>
              </w:rPr>
              <w:t>7</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D2820B">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李晓仪</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D38EFA">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群体动力学视域下高校本硕博学生党建共同体的构建路径研究</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20E264">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val="en-US" w:eastAsia="zh-CN"/>
              </w:rPr>
              <w:t>优秀</w:t>
            </w:r>
          </w:p>
        </w:tc>
      </w:tr>
      <w:tr w14:paraId="12A115F3">
        <w:tblPrEx>
          <w:tblCellMar>
            <w:top w:w="0" w:type="dxa"/>
            <w:left w:w="108" w:type="dxa"/>
            <w:bottom w:w="0" w:type="dxa"/>
            <w:right w:w="108" w:type="dxa"/>
          </w:tblCellMar>
        </w:tblPrEx>
        <w:trPr>
          <w:trHeight w:val="395"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3F5DD8CC">
            <w:pPr>
              <w:widowControl/>
              <w:jc w:val="center"/>
              <w:rPr>
                <w:rFonts w:ascii="微软雅黑" w:hAnsi="微软雅黑" w:eastAsia="微软雅黑" w:cs="微软雅黑"/>
                <w:color w:val="000000"/>
                <w:szCs w:val="21"/>
              </w:rPr>
            </w:pPr>
            <w:r>
              <w:rPr>
                <w:rFonts w:ascii="微软雅黑" w:hAnsi="微软雅黑" w:eastAsia="微软雅黑"/>
                <w:szCs w:val="21"/>
              </w:rPr>
              <w:t>8</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52E959">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卢张昱</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CEA9A4">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大学生党性教育的作用现状调查及提升方法探索—以浙江师范大学为例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4EB5CC">
            <w:pPr>
              <w:widowControl/>
              <w:jc w:val="center"/>
              <w:rPr>
                <w:rFonts w:hint="default" w:ascii="仿宋_GB2312" w:hAnsi="宋体" w:eastAsia="仿宋_GB2312" w:cs="仿宋_GB2312"/>
                <w:color w:val="000000"/>
                <w:szCs w:val="21"/>
                <w:lang w:val="en-US"/>
              </w:rPr>
            </w:pPr>
            <w:r>
              <w:rPr>
                <w:rFonts w:hint="eastAsia" w:ascii="仿宋_GB2312" w:hAnsi="宋体" w:eastAsia="仿宋_GB2312" w:cs="仿宋_GB2312"/>
                <w:color w:val="000000"/>
                <w:kern w:val="0"/>
                <w:szCs w:val="21"/>
                <w:lang w:val="en-US" w:eastAsia="zh-CN"/>
              </w:rPr>
              <w:t>优秀</w:t>
            </w:r>
          </w:p>
        </w:tc>
      </w:tr>
      <w:tr w14:paraId="671FA990">
        <w:tblPrEx>
          <w:tblCellMar>
            <w:top w:w="0" w:type="dxa"/>
            <w:left w:w="108" w:type="dxa"/>
            <w:bottom w:w="0" w:type="dxa"/>
            <w:right w:w="108" w:type="dxa"/>
          </w:tblCellMar>
        </w:tblPrEx>
        <w:trPr>
          <w:trHeight w:val="395"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48D3BFA7">
            <w:pPr>
              <w:widowControl/>
              <w:jc w:val="center"/>
              <w:rPr>
                <w:rFonts w:hint="eastAsia" w:ascii="微软雅黑" w:hAnsi="微软雅黑" w:eastAsia="微软雅黑" w:cs="微软雅黑"/>
                <w:color w:val="000000"/>
                <w:szCs w:val="21"/>
                <w:lang w:eastAsia="zh-CN"/>
              </w:rPr>
            </w:pPr>
            <w:r>
              <w:rPr>
                <w:rFonts w:hint="eastAsia" w:ascii="微软雅黑" w:hAnsi="微软雅黑" w:eastAsia="微软雅黑"/>
                <w:szCs w:val="21"/>
                <w:lang w:val="en-US" w:eastAsia="zh-CN"/>
              </w:rPr>
              <w:t>9</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6C423B">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王婷</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35C619">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党史文化赋能高校党建工作的实践机制探究——以浙江师范大学为例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FD7FE1">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5C327DC5">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44B8D673">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1</w:t>
            </w:r>
            <w:r>
              <w:rPr>
                <w:rFonts w:hint="eastAsia" w:ascii="微软雅黑" w:hAnsi="微软雅黑" w:eastAsia="微软雅黑"/>
                <w:szCs w:val="21"/>
                <w:lang w:val="en-US" w:eastAsia="zh-CN"/>
              </w:rPr>
              <w:t>0</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07CB27">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吕晨超</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0954B0">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新媒体背景下高校学生党支部主题党日活动开展的现状调查及其策略研究——以浙江师范大学为例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029C4A">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3057C509">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180FD4F6">
            <w:pPr>
              <w:widowControl/>
              <w:jc w:val="center"/>
              <w:rPr>
                <w:rFonts w:hint="eastAsia" w:ascii="微软雅黑" w:hAnsi="微软雅黑" w:eastAsia="微软雅黑" w:cs="微软雅黑"/>
                <w:color w:val="000000"/>
                <w:szCs w:val="21"/>
                <w:lang w:eastAsia="zh-CN"/>
              </w:rPr>
            </w:pPr>
            <w:r>
              <w:rPr>
                <w:rFonts w:ascii="微软雅黑" w:hAnsi="微软雅黑" w:eastAsia="微软雅黑"/>
                <w:szCs w:val="21"/>
              </w:rPr>
              <w:t>1</w:t>
            </w:r>
            <w:r>
              <w:rPr>
                <w:rFonts w:hint="eastAsia" w:ascii="微软雅黑" w:hAnsi="微软雅黑" w:eastAsia="微软雅黑"/>
                <w:szCs w:val="21"/>
                <w:lang w:val="en-US" w:eastAsia="zh-CN"/>
              </w:rPr>
              <w:t>1</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69954B">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王清暇</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91335E">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“互联网+”背景下微党课创新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实践研究——以浙江师范大学教育学院为例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6C5DD0">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314D030E">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322EC742">
            <w:pPr>
              <w:widowControl/>
              <w:jc w:val="center"/>
              <w:rPr>
                <w:rFonts w:hint="eastAsia" w:ascii="微软雅黑" w:hAnsi="微软雅黑" w:eastAsia="微软雅黑" w:cs="微软雅黑"/>
                <w:color w:val="000000"/>
                <w:szCs w:val="21"/>
                <w:lang w:eastAsia="zh-CN"/>
              </w:rPr>
            </w:pPr>
            <w:r>
              <w:rPr>
                <w:rFonts w:ascii="微软雅黑" w:hAnsi="微软雅黑" w:eastAsia="微软雅黑"/>
                <w:szCs w:val="21"/>
              </w:rPr>
              <w:t>1</w:t>
            </w:r>
            <w:r>
              <w:rPr>
                <w:rFonts w:hint="eastAsia" w:ascii="微软雅黑" w:hAnsi="微软雅黑" w:eastAsia="微软雅黑"/>
                <w:szCs w:val="21"/>
                <w:lang w:val="en-US" w:eastAsia="zh-CN"/>
              </w:rPr>
              <w:t>2</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9EF269">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赵江炜</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C69244">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“枫桥经验”对高校学生党支部思想治教育的启示——以浙江师范大学为例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E618A9">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01F18C15">
        <w:tblPrEx>
          <w:tblCellMar>
            <w:top w:w="0" w:type="dxa"/>
            <w:left w:w="108" w:type="dxa"/>
            <w:bottom w:w="0" w:type="dxa"/>
            <w:right w:w="108" w:type="dxa"/>
          </w:tblCellMar>
        </w:tblPrEx>
        <w:trPr>
          <w:trHeight w:val="395"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727B0CFF">
            <w:pPr>
              <w:widowControl/>
              <w:jc w:val="center"/>
              <w:rPr>
                <w:rFonts w:hint="eastAsia" w:ascii="微软雅黑" w:hAnsi="微软雅黑" w:eastAsia="微软雅黑" w:cs="微软雅黑"/>
                <w:color w:val="000000"/>
                <w:szCs w:val="21"/>
                <w:lang w:eastAsia="zh-CN"/>
              </w:rPr>
            </w:pPr>
            <w:r>
              <w:rPr>
                <w:rFonts w:ascii="微软雅黑" w:hAnsi="微软雅黑" w:eastAsia="微软雅黑"/>
                <w:szCs w:val="21"/>
              </w:rPr>
              <w:t>1</w:t>
            </w:r>
            <w:r>
              <w:rPr>
                <w:rFonts w:hint="eastAsia" w:ascii="微软雅黑" w:hAnsi="微软雅黑" w:eastAsia="微软雅黑"/>
                <w:szCs w:val="21"/>
                <w:lang w:val="en-US" w:eastAsia="zh-CN"/>
              </w:rPr>
              <w:t>3</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AE7577">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何育栋</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DD468C">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课程思政建设背景下师范生党支部以党建引领推动师德发展路径探究——以浙江师范大学为例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E84D7E">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08CF0E7B">
        <w:tblPrEx>
          <w:tblCellMar>
            <w:top w:w="0" w:type="dxa"/>
            <w:left w:w="108" w:type="dxa"/>
            <w:bottom w:w="0" w:type="dxa"/>
            <w:right w:w="108" w:type="dxa"/>
          </w:tblCellMar>
        </w:tblPrEx>
        <w:trPr>
          <w:trHeight w:val="395"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2A97A2AD">
            <w:pPr>
              <w:widowControl/>
              <w:jc w:val="center"/>
              <w:rPr>
                <w:rFonts w:hint="eastAsia" w:ascii="微软雅黑" w:hAnsi="微软雅黑" w:eastAsia="微软雅黑" w:cs="微软雅黑"/>
                <w:color w:val="000000"/>
                <w:szCs w:val="21"/>
                <w:lang w:eastAsia="zh-CN"/>
              </w:rPr>
            </w:pPr>
            <w:r>
              <w:rPr>
                <w:rFonts w:ascii="微软雅黑" w:hAnsi="微软雅黑" w:eastAsia="微软雅黑"/>
                <w:szCs w:val="21"/>
              </w:rPr>
              <w:t>1</w:t>
            </w:r>
            <w:r>
              <w:rPr>
                <w:rFonts w:hint="eastAsia" w:ascii="微软雅黑" w:hAnsi="微软雅黑" w:eastAsia="微软雅黑"/>
                <w:szCs w:val="21"/>
                <w:lang w:val="en-US" w:eastAsia="zh-CN"/>
              </w:rPr>
              <w:t>4</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487E4D">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郑慧娴</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2203F8">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五四精神融入高校学生党员党性教育的路径研究——以浙江师范大学为例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FF438C">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041EF036">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0A6B3624">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1</w:t>
            </w:r>
            <w:r>
              <w:rPr>
                <w:rFonts w:hint="eastAsia" w:ascii="微软雅黑" w:hAnsi="微软雅黑" w:eastAsia="微软雅黑"/>
                <w:szCs w:val="21"/>
                <w:lang w:val="en-US" w:eastAsia="zh-CN"/>
              </w:rPr>
              <w:t>5</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08B20F">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戴欣洁</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A3BF05">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数智时代高校研究生“样板党支部”价值引领路径研究</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E3E6EE">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4F2587DC">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31F2007D">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1</w:t>
            </w:r>
            <w:r>
              <w:rPr>
                <w:rFonts w:hint="eastAsia" w:ascii="微软雅黑" w:hAnsi="微软雅黑" w:eastAsia="微软雅黑"/>
                <w:szCs w:val="21"/>
                <w:lang w:val="en-US" w:eastAsia="zh-CN"/>
              </w:rPr>
              <w:t>6</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099015">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王润泽</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E932D9">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高校学生环保型党员先锋岗实效提升的应用研究——以浙江师范大学为例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5071AB">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367C1B84">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6DD9DB7C">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1</w:t>
            </w:r>
            <w:r>
              <w:rPr>
                <w:rFonts w:hint="eastAsia" w:ascii="微软雅黑" w:hAnsi="微软雅黑" w:eastAsia="微软雅黑"/>
                <w:szCs w:val="21"/>
                <w:lang w:val="en-US" w:eastAsia="zh-CN"/>
              </w:rPr>
              <w:t>7</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C618B5">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陈晓涵</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AED0EA">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新时代红色文化资源长效助力大学生文化认同的路径研究-以浙江师范大学为例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916FD6">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0FAB00BC">
        <w:tblPrEx>
          <w:tblCellMar>
            <w:top w:w="0" w:type="dxa"/>
            <w:left w:w="108" w:type="dxa"/>
            <w:bottom w:w="0" w:type="dxa"/>
            <w:right w:w="108" w:type="dxa"/>
          </w:tblCellMar>
        </w:tblPrEx>
        <w:trPr>
          <w:trHeight w:val="395"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52386853">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1</w:t>
            </w:r>
            <w:r>
              <w:rPr>
                <w:rFonts w:hint="eastAsia" w:ascii="微软雅黑" w:hAnsi="微软雅黑" w:eastAsia="微软雅黑"/>
                <w:szCs w:val="21"/>
                <w:lang w:val="en-US" w:eastAsia="zh-CN"/>
              </w:rPr>
              <w:t>8</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071C08">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王意辰</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CB3D9F">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“大思政”背景下高校党建和地方基层党建的双辐射路径探析</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07A0A8">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200AD12E">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2E47F803">
            <w:pPr>
              <w:widowControl/>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19</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0266C4">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汪心怡</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2D3CF6">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在“脚踏实地”中厚植“初心底色”：建设高校学习型党组织的实践路径探究</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88A411">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6826CA91">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5A07A39B">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2</w:t>
            </w:r>
            <w:r>
              <w:rPr>
                <w:rFonts w:hint="eastAsia" w:ascii="微软雅黑" w:hAnsi="微软雅黑" w:eastAsia="微软雅黑"/>
                <w:szCs w:val="21"/>
                <w:lang w:val="en-US" w:eastAsia="zh-CN"/>
              </w:rPr>
              <w:t>0</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1C5F9A">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曹奕慧</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8C7F2C">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新时代背景下增强高校学生党支部生机活力的优化路径研究</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F787F0">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4199E649">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33360859">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2</w:t>
            </w:r>
            <w:r>
              <w:rPr>
                <w:rFonts w:hint="eastAsia" w:ascii="微软雅黑" w:hAnsi="微软雅黑" w:eastAsia="微软雅黑"/>
                <w:szCs w:val="21"/>
                <w:lang w:val="en-US" w:eastAsia="zh-CN"/>
              </w:rPr>
              <w:t>1</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EB18D9">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林诗慧</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25007D">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青年不负盛世，奋斗恰逢其时——共同富裕视角下大学生使命感培育研究</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90BC6F">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757B03A5">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48245104">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2</w:t>
            </w:r>
            <w:r>
              <w:rPr>
                <w:rFonts w:hint="eastAsia" w:ascii="微软雅黑" w:hAnsi="微软雅黑" w:eastAsia="微软雅黑"/>
                <w:szCs w:val="21"/>
                <w:lang w:val="en-US" w:eastAsia="zh-CN"/>
              </w:rPr>
              <w:t>2</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44DFC5">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 xml:space="preserve">何倚 </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494FD3">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小学生廉洁教育的校本化实践研究</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882188">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4F23D302">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0B47B559">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2</w:t>
            </w:r>
            <w:r>
              <w:rPr>
                <w:rFonts w:hint="eastAsia" w:ascii="微软雅黑" w:hAnsi="微软雅黑" w:eastAsia="微软雅黑"/>
                <w:szCs w:val="21"/>
                <w:lang w:val="en-US" w:eastAsia="zh-CN"/>
              </w:rPr>
              <w:t>3</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04DA18">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李乐</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2F9E7E">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微时代视域下教育专业学生党建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工作的创新路径研究</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DFFE18">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722B175D">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2C62C9F8">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2</w:t>
            </w:r>
            <w:r>
              <w:rPr>
                <w:rFonts w:hint="eastAsia" w:ascii="微软雅黑" w:hAnsi="微软雅黑" w:eastAsia="微软雅黑"/>
                <w:szCs w:val="21"/>
                <w:lang w:val="en-US" w:eastAsia="zh-CN"/>
              </w:rPr>
              <w:t>4</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EB0B8E">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陈晨</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2725F9">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“三全育人”背景下师范类研究生党员发展路径优化研究——以浙江师范大学为例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E87DB4">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005E1EED">
        <w:tblPrEx>
          <w:tblCellMar>
            <w:top w:w="0" w:type="dxa"/>
            <w:left w:w="108" w:type="dxa"/>
            <w:bottom w:w="0" w:type="dxa"/>
            <w:right w:w="108" w:type="dxa"/>
          </w:tblCellMar>
        </w:tblPrEx>
        <w:trPr>
          <w:trHeight w:val="395"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7A2C34BB">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2</w:t>
            </w:r>
            <w:r>
              <w:rPr>
                <w:rFonts w:hint="eastAsia" w:ascii="微软雅黑" w:hAnsi="微软雅黑" w:eastAsia="微软雅黑"/>
                <w:szCs w:val="21"/>
                <w:lang w:val="en-US" w:eastAsia="zh-CN"/>
              </w:rPr>
              <w:t>5</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EFEF89">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吴沁园</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C50926">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实践育人视角下高校学生党员志愿服务发展路径研究——以浙江师范大学教育技术学硕士研究生党支部为例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FCE15B">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690A6818">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35D52CC9">
            <w:pPr>
              <w:widowControl/>
              <w:jc w:val="center"/>
              <w:rPr>
                <w:rFonts w:hint="eastAsia" w:ascii="微软雅黑" w:hAnsi="微软雅黑" w:eastAsia="微软雅黑" w:cs="微软雅黑"/>
                <w:color w:val="000000"/>
                <w:szCs w:val="21"/>
                <w:lang w:val="en-US" w:eastAsia="zh-CN"/>
              </w:rPr>
            </w:pPr>
            <w:r>
              <w:rPr>
                <w:rFonts w:ascii="微软雅黑" w:hAnsi="微软雅黑" w:eastAsia="微软雅黑"/>
                <w:szCs w:val="21"/>
              </w:rPr>
              <w:t>2</w:t>
            </w:r>
            <w:r>
              <w:rPr>
                <w:rFonts w:hint="eastAsia" w:ascii="微软雅黑" w:hAnsi="微软雅黑" w:eastAsia="微软雅黑"/>
                <w:szCs w:val="21"/>
                <w:lang w:val="en-US" w:eastAsia="zh-CN"/>
              </w:rPr>
              <w:t>6</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23F352">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曾丽君</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3A6C20">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红色研学推进高校学生党建带团建的创新路径研究——以浙江师范大学为例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52F192">
            <w:pPr>
              <w:widowControl/>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合格</w:t>
            </w:r>
          </w:p>
        </w:tc>
      </w:tr>
      <w:tr w14:paraId="7010320A">
        <w:tblPrEx>
          <w:tblCellMar>
            <w:top w:w="0" w:type="dxa"/>
            <w:left w:w="108" w:type="dxa"/>
            <w:bottom w:w="0" w:type="dxa"/>
            <w:right w:w="108" w:type="dxa"/>
          </w:tblCellMar>
        </w:tblPrEx>
        <w:trPr>
          <w:trHeight w:val="70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Pr>
          <w:p w14:paraId="0E0DA09E">
            <w:pPr>
              <w:widowControl/>
              <w:jc w:val="center"/>
              <w:rPr>
                <w:rFonts w:hint="default" w:ascii="微软雅黑" w:hAnsi="微软雅黑" w:eastAsia="微软雅黑"/>
                <w:szCs w:val="21"/>
                <w:lang w:val="en-US" w:eastAsia="zh-CN"/>
              </w:rPr>
            </w:pPr>
            <w:r>
              <w:rPr>
                <w:rFonts w:hint="eastAsia" w:ascii="微软雅黑" w:hAnsi="微软雅黑" w:eastAsia="微软雅黑"/>
                <w:szCs w:val="21"/>
                <w:lang w:val="en-US" w:eastAsia="zh-CN"/>
              </w:rPr>
              <w:t>27</w:t>
            </w:r>
          </w:p>
        </w:tc>
        <w:tc>
          <w:tcPr>
            <w:tcW w:w="13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D9C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周莉珊</w:t>
            </w:r>
          </w:p>
        </w:tc>
        <w:tc>
          <w:tcPr>
            <w:tcW w:w="66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C6B26F">
            <w:pPr>
              <w:keepNext w:val="0"/>
              <w:keepLines w:val="0"/>
              <w:widowControl/>
              <w:suppressLineNumbers w:val="0"/>
              <w:jc w:val="center"/>
              <w:textAlignment w:val="center"/>
              <w:rPr>
                <w:rFonts w:ascii="仿宋_GB2312" w:hAnsi="宋体" w:eastAsia="仿宋_GB2312"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大数据视域下高校红色文化教育的现状与策略研究——以浙江师范大学为例</w:t>
            </w:r>
          </w:p>
        </w:tc>
        <w:tc>
          <w:tcPr>
            <w:tcW w:w="9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8768BE">
            <w:pPr>
              <w:widowControl/>
              <w:jc w:val="center"/>
              <w:rPr>
                <w:rFonts w:hint="eastAsia" w:ascii="仿宋_GB2312" w:hAnsi="宋体" w:eastAsia="仿宋_GB2312" w:cs="仿宋_GB2312"/>
                <w:color w:val="000000"/>
                <w:kern w:val="0"/>
                <w:szCs w:val="21"/>
                <w:lang w:val="en-US" w:eastAsia="zh-CN"/>
              </w:rPr>
            </w:pPr>
            <w:r>
              <w:rPr>
                <w:rFonts w:hint="eastAsia" w:ascii="仿宋_GB2312" w:hAnsi="宋体" w:eastAsia="仿宋_GB2312" w:cs="仿宋_GB2312"/>
                <w:color w:val="000000"/>
                <w:kern w:val="0"/>
                <w:szCs w:val="21"/>
                <w:lang w:val="en-US" w:eastAsia="zh-CN"/>
              </w:rPr>
              <w:t>合格</w:t>
            </w:r>
          </w:p>
        </w:tc>
      </w:tr>
    </w:tbl>
    <w:p w14:paraId="3D69FA31">
      <w:pPr>
        <w:spacing w:line="400" w:lineRule="exact"/>
        <w:ind w:firstLine="480" w:firstLineChars="200"/>
        <w:jc w:val="right"/>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浙江师范大学</w:t>
      </w:r>
      <w:r>
        <w:rPr>
          <w:rFonts w:hint="eastAsia" w:ascii="仿宋_GB2312" w:hAnsi="仿宋_GB2312" w:eastAsia="仿宋_GB2312" w:cs="仿宋_GB2312"/>
          <w:color w:val="000000"/>
          <w:sz w:val="24"/>
          <w:shd w:val="clear" w:color="auto" w:fill="FFFFFF"/>
          <w:lang w:val="en-US" w:eastAsia="zh-CN"/>
        </w:rPr>
        <w:t>教育学院</w:t>
      </w:r>
      <w:r>
        <w:rPr>
          <w:rFonts w:hint="eastAsia" w:ascii="仿宋_GB2312" w:hAnsi="仿宋_GB2312" w:eastAsia="仿宋_GB2312" w:cs="仿宋_GB2312"/>
          <w:color w:val="000000"/>
          <w:sz w:val="24"/>
          <w:shd w:val="clear" w:color="auto" w:fill="FFFFFF"/>
        </w:rPr>
        <w:t>党员之家</w:t>
      </w:r>
    </w:p>
    <w:p w14:paraId="25AFFD1F">
      <w:pPr>
        <w:spacing w:line="400" w:lineRule="exact"/>
        <w:ind w:firstLine="480" w:firstLineChars="200"/>
        <w:jc w:val="right"/>
        <w:rPr>
          <w:rFonts w:ascii="仿宋_GB2312" w:hAnsi="仿宋_GB2312" w:eastAsia="仿宋_GB2312" w:cs="仿宋_GB2312"/>
          <w:color w:val="000000"/>
          <w:sz w:val="24"/>
          <w:shd w:val="clear" w:color="auto" w:fill="FFFFFF"/>
        </w:rPr>
      </w:pPr>
      <w:r>
        <w:rPr>
          <w:rFonts w:ascii="仿宋_GB2312" w:hAnsi="仿宋_GB2312" w:eastAsia="仿宋_GB2312" w:cs="仿宋_GB2312"/>
          <w:color w:val="000000"/>
          <w:sz w:val="24"/>
          <w:shd w:val="clear" w:color="auto" w:fill="FFFFFF"/>
        </w:rPr>
        <w:t xml:space="preserve">                            202</w:t>
      </w:r>
      <w:r>
        <w:rPr>
          <w:rFonts w:hint="eastAsia" w:ascii="仿宋_GB2312" w:hAnsi="仿宋_GB2312" w:eastAsia="仿宋_GB2312" w:cs="仿宋_GB2312"/>
          <w:color w:val="000000"/>
          <w:sz w:val="24"/>
          <w:shd w:val="clear" w:color="auto" w:fill="FFFFFF"/>
          <w:lang w:val="en-US" w:eastAsia="zh-CN"/>
        </w:rPr>
        <w:t>4</w:t>
      </w:r>
      <w:r>
        <w:rPr>
          <w:rFonts w:ascii="仿宋_GB2312" w:hAnsi="仿宋_GB2312" w:eastAsia="仿宋_GB2312" w:cs="仿宋_GB2312"/>
          <w:color w:val="000000"/>
          <w:sz w:val="24"/>
          <w:shd w:val="clear" w:color="auto" w:fill="FFFFFF"/>
        </w:rPr>
        <w:t>年8月</w:t>
      </w:r>
    </w:p>
    <w:p w14:paraId="078C324C">
      <w:pPr>
        <w:jc w:val="center"/>
        <w:rPr>
          <w:rFonts w:hint="eastAsia" w:ascii="方正小标宋简体" w:eastAsia="方正小标宋简体"/>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2ZjMGQ4YzUwYjk1NzNjOGE1MDA0ZTc1YzdkMzEifQ=="/>
  </w:docVars>
  <w:rsids>
    <w:rsidRoot w:val="71C45682"/>
    <w:rsid w:val="00EF0D48"/>
    <w:rsid w:val="015D610F"/>
    <w:rsid w:val="0196618A"/>
    <w:rsid w:val="026F47A8"/>
    <w:rsid w:val="0298656A"/>
    <w:rsid w:val="02CE0DD4"/>
    <w:rsid w:val="032E7B6E"/>
    <w:rsid w:val="050D3FED"/>
    <w:rsid w:val="05225B12"/>
    <w:rsid w:val="052D0839"/>
    <w:rsid w:val="057114FA"/>
    <w:rsid w:val="05BE6792"/>
    <w:rsid w:val="072F4172"/>
    <w:rsid w:val="07CE5E04"/>
    <w:rsid w:val="09165306"/>
    <w:rsid w:val="0939611F"/>
    <w:rsid w:val="09C90FF4"/>
    <w:rsid w:val="0AD1639E"/>
    <w:rsid w:val="0B3B1B96"/>
    <w:rsid w:val="0B3F7A99"/>
    <w:rsid w:val="0C46690D"/>
    <w:rsid w:val="0CBD07E1"/>
    <w:rsid w:val="0CC8629C"/>
    <w:rsid w:val="0E5F6EEE"/>
    <w:rsid w:val="0E90619E"/>
    <w:rsid w:val="0EAF2B65"/>
    <w:rsid w:val="0F31707F"/>
    <w:rsid w:val="0F5F2A18"/>
    <w:rsid w:val="0FB85419"/>
    <w:rsid w:val="0FE95CED"/>
    <w:rsid w:val="103C5343"/>
    <w:rsid w:val="106417B2"/>
    <w:rsid w:val="10B816A0"/>
    <w:rsid w:val="113A59F9"/>
    <w:rsid w:val="11C72D7D"/>
    <w:rsid w:val="11F61378"/>
    <w:rsid w:val="12110E05"/>
    <w:rsid w:val="12EC5DA3"/>
    <w:rsid w:val="14050EC4"/>
    <w:rsid w:val="146E2E19"/>
    <w:rsid w:val="14C65F6F"/>
    <w:rsid w:val="15262D9B"/>
    <w:rsid w:val="15DC1A55"/>
    <w:rsid w:val="16F3464C"/>
    <w:rsid w:val="17051DA7"/>
    <w:rsid w:val="17EC75E2"/>
    <w:rsid w:val="18CA16B2"/>
    <w:rsid w:val="18D770EC"/>
    <w:rsid w:val="19572658"/>
    <w:rsid w:val="19A00FE9"/>
    <w:rsid w:val="19A50AEA"/>
    <w:rsid w:val="1A64140E"/>
    <w:rsid w:val="1A83356E"/>
    <w:rsid w:val="1A9815E9"/>
    <w:rsid w:val="1A9F58A8"/>
    <w:rsid w:val="1AC22669"/>
    <w:rsid w:val="1B450439"/>
    <w:rsid w:val="1B837465"/>
    <w:rsid w:val="1B8614AF"/>
    <w:rsid w:val="1B966BDF"/>
    <w:rsid w:val="1BA6703F"/>
    <w:rsid w:val="1C0935BC"/>
    <w:rsid w:val="1C7A5F97"/>
    <w:rsid w:val="1D3332D6"/>
    <w:rsid w:val="1E372299"/>
    <w:rsid w:val="1EE02909"/>
    <w:rsid w:val="1EF04BBF"/>
    <w:rsid w:val="1F043106"/>
    <w:rsid w:val="201F32D5"/>
    <w:rsid w:val="20896A3F"/>
    <w:rsid w:val="20C13DF5"/>
    <w:rsid w:val="211705BC"/>
    <w:rsid w:val="222D7D6B"/>
    <w:rsid w:val="224C3BAF"/>
    <w:rsid w:val="23834480"/>
    <w:rsid w:val="244F1B0B"/>
    <w:rsid w:val="247A1C2B"/>
    <w:rsid w:val="251E4F46"/>
    <w:rsid w:val="254A4B8F"/>
    <w:rsid w:val="26F13124"/>
    <w:rsid w:val="26FE3D9D"/>
    <w:rsid w:val="271724A9"/>
    <w:rsid w:val="27774408"/>
    <w:rsid w:val="27A02740"/>
    <w:rsid w:val="280C205F"/>
    <w:rsid w:val="2AB759F6"/>
    <w:rsid w:val="2B6B071B"/>
    <w:rsid w:val="2B9A6BBA"/>
    <w:rsid w:val="2DA46825"/>
    <w:rsid w:val="2DE64997"/>
    <w:rsid w:val="2E4B2F04"/>
    <w:rsid w:val="2ED90F96"/>
    <w:rsid w:val="2F316B32"/>
    <w:rsid w:val="2FA7586D"/>
    <w:rsid w:val="30274B7A"/>
    <w:rsid w:val="30480EBD"/>
    <w:rsid w:val="308E73BA"/>
    <w:rsid w:val="310A71CC"/>
    <w:rsid w:val="31C10635"/>
    <w:rsid w:val="32194C24"/>
    <w:rsid w:val="32AD7616"/>
    <w:rsid w:val="34785814"/>
    <w:rsid w:val="34B17C65"/>
    <w:rsid w:val="34D04469"/>
    <w:rsid w:val="35002D08"/>
    <w:rsid w:val="35C40BE4"/>
    <w:rsid w:val="365B3D58"/>
    <w:rsid w:val="378F1083"/>
    <w:rsid w:val="37A77E31"/>
    <w:rsid w:val="37A86C1C"/>
    <w:rsid w:val="383C58A9"/>
    <w:rsid w:val="38A770A2"/>
    <w:rsid w:val="38B10E28"/>
    <w:rsid w:val="391A3B87"/>
    <w:rsid w:val="39654287"/>
    <w:rsid w:val="3B2E1B34"/>
    <w:rsid w:val="3B86411A"/>
    <w:rsid w:val="3B897254"/>
    <w:rsid w:val="3C9572CA"/>
    <w:rsid w:val="3CB2574F"/>
    <w:rsid w:val="3DE8654C"/>
    <w:rsid w:val="4103630B"/>
    <w:rsid w:val="41300991"/>
    <w:rsid w:val="41BE7F87"/>
    <w:rsid w:val="428340BC"/>
    <w:rsid w:val="429E118F"/>
    <w:rsid w:val="42C35723"/>
    <w:rsid w:val="43192A0B"/>
    <w:rsid w:val="431C7932"/>
    <w:rsid w:val="44FF7A8F"/>
    <w:rsid w:val="45D34F1E"/>
    <w:rsid w:val="47414B1C"/>
    <w:rsid w:val="47754DB9"/>
    <w:rsid w:val="47865F3C"/>
    <w:rsid w:val="484C263E"/>
    <w:rsid w:val="49D50644"/>
    <w:rsid w:val="4A944902"/>
    <w:rsid w:val="4A9B09D3"/>
    <w:rsid w:val="4ADE602C"/>
    <w:rsid w:val="4BE35051"/>
    <w:rsid w:val="4C3679AA"/>
    <w:rsid w:val="4C707A84"/>
    <w:rsid w:val="4CA14AE0"/>
    <w:rsid w:val="4D3565DD"/>
    <w:rsid w:val="4D844DE8"/>
    <w:rsid w:val="4E777C87"/>
    <w:rsid w:val="4EB60939"/>
    <w:rsid w:val="4ED97D23"/>
    <w:rsid w:val="4F2D23BD"/>
    <w:rsid w:val="4F63525D"/>
    <w:rsid w:val="510C7B2E"/>
    <w:rsid w:val="514353A7"/>
    <w:rsid w:val="53844374"/>
    <w:rsid w:val="539C5F37"/>
    <w:rsid w:val="53AA12EF"/>
    <w:rsid w:val="55550D5B"/>
    <w:rsid w:val="55F513BC"/>
    <w:rsid w:val="569D6CEA"/>
    <w:rsid w:val="579C0008"/>
    <w:rsid w:val="57B71066"/>
    <w:rsid w:val="57C86689"/>
    <w:rsid w:val="57EA7F76"/>
    <w:rsid w:val="58125582"/>
    <w:rsid w:val="584477C2"/>
    <w:rsid w:val="58A936FE"/>
    <w:rsid w:val="5A434A03"/>
    <w:rsid w:val="5A6B5CA6"/>
    <w:rsid w:val="5A921436"/>
    <w:rsid w:val="5B200698"/>
    <w:rsid w:val="5C733E1B"/>
    <w:rsid w:val="5CD763A8"/>
    <w:rsid w:val="5D7342FE"/>
    <w:rsid w:val="5D8813A5"/>
    <w:rsid w:val="5DAC6B49"/>
    <w:rsid w:val="5DD253FD"/>
    <w:rsid w:val="5EBC4511"/>
    <w:rsid w:val="5FDB0CA1"/>
    <w:rsid w:val="61100F08"/>
    <w:rsid w:val="61DC67DB"/>
    <w:rsid w:val="626D2A21"/>
    <w:rsid w:val="63EC7650"/>
    <w:rsid w:val="63F231D8"/>
    <w:rsid w:val="641B305C"/>
    <w:rsid w:val="649B34F4"/>
    <w:rsid w:val="649D21A4"/>
    <w:rsid w:val="64B43810"/>
    <w:rsid w:val="64BB1197"/>
    <w:rsid w:val="65250556"/>
    <w:rsid w:val="65A772AE"/>
    <w:rsid w:val="65A97A9F"/>
    <w:rsid w:val="667E2304"/>
    <w:rsid w:val="68FF220C"/>
    <w:rsid w:val="695F2A6B"/>
    <w:rsid w:val="6A1B50BD"/>
    <w:rsid w:val="6B2E66E0"/>
    <w:rsid w:val="6BD76DAE"/>
    <w:rsid w:val="6C663AEC"/>
    <w:rsid w:val="6C912E45"/>
    <w:rsid w:val="6CAB6B5A"/>
    <w:rsid w:val="6D7F161B"/>
    <w:rsid w:val="6DFF34F7"/>
    <w:rsid w:val="6E8750FD"/>
    <w:rsid w:val="6E9B73CE"/>
    <w:rsid w:val="7086661C"/>
    <w:rsid w:val="70C97D12"/>
    <w:rsid w:val="7136264D"/>
    <w:rsid w:val="715154A2"/>
    <w:rsid w:val="71C4441B"/>
    <w:rsid w:val="71C45682"/>
    <w:rsid w:val="72FB71D7"/>
    <w:rsid w:val="73893C58"/>
    <w:rsid w:val="74155686"/>
    <w:rsid w:val="75C312A8"/>
    <w:rsid w:val="75E5469F"/>
    <w:rsid w:val="7637338F"/>
    <w:rsid w:val="76A92898"/>
    <w:rsid w:val="76FD52E9"/>
    <w:rsid w:val="7700021C"/>
    <w:rsid w:val="77016BD1"/>
    <w:rsid w:val="770873B9"/>
    <w:rsid w:val="779673A5"/>
    <w:rsid w:val="77CD0927"/>
    <w:rsid w:val="789A7209"/>
    <w:rsid w:val="78FA0699"/>
    <w:rsid w:val="794C0202"/>
    <w:rsid w:val="7A456601"/>
    <w:rsid w:val="7A542F13"/>
    <w:rsid w:val="7C2A1A3A"/>
    <w:rsid w:val="7C8D6943"/>
    <w:rsid w:val="7D647548"/>
    <w:rsid w:val="7E345B2C"/>
    <w:rsid w:val="7F081D29"/>
    <w:rsid w:val="7F91274E"/>
    <w:rsid w:val="7FD50037"/>
    <w:rsid w:val="7FEB2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1130</Words>
  <Characters>1158</Characters>
  <Lines>0</Lines>
  <Paragraphs>0</Paragraphs>
  <TotalTime>2</TotalTime>
  <ScaleCrop>false</ScaleCrop>
  <LinksUpToDate>false</LinksUpToDate>
  <CharactersWithSpaces>1188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2024-08-31T05:03:00Z</dcterms:created>
  <dc:creator>范范</dc:creator>
  <cp:lastModifiedBy>冯奕程</cp:lastModifiedBy>
  <dcterms:modified xsi:type="dcterms:W3CDTF">2024-08-31T11:45:28Z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7FC14D5AB1AE48C799B9502384FB4720_13</vt:lpwstr>
  </property>
</Properties>
</file>