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color w:val="auto"/>
          <w:sz w:val="28"/>
          <w:szCs w:val="28"/>
        </w:rPr>
        <w:t>17幢206</w:t>
      </w:r>
      <w:r>
        <w:rPr>
          <w:rFonts w:hint="eastAsia"/>
          <w:color w:val="auto"/>
          <w:sz w:val="28"/>
          <w:szCs w:val="28"/>
          <w:lang w:val="en-US" w:eastAsia="zh-CN"/>
        </w:rPr>
        <w:t>室（南楼）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>张天雪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val="en-US" w:eastAsia="zh-CN"/>
        </w:rPr>
        <w:t>王宪平、蔡连玉、周国华、陈星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但兰兰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伍纯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地方高校绩效管理的案例研究：基于利益相关者的分析框架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202020201043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王清华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陈星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《基于前景理论的中小学教师激励机制设计与验证》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202020201044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徐浩天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《高等教育助力共同富裕示范区建设的关键指标研究》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202020201045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陈雅芳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吴惠强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教师资格制度助推教师专业成长的现状与应然路径-基于对J市的调查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202020201046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肖红杰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周国华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《“双减”政策背景下家长教育焦虑问题研究》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202020201047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黄恒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张天雪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优质均衡视角下浙江省义务教育质量差距研究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202020201048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程一可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教育经济与管理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王宪平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《地方高校学院内部治理运行困境与未来路径—基于Z大学的调研》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  <w:bookmarkStart w:id="0" w:name="_GoBack"/>
      <w:bookmarkEnd w:id="0"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1C6D054F"/>
    <w:rsid w:val="257C5530"/>
    <w:rsid w:val="2F4928DB"/>
    <w:rsid w:val="38663651"/>
    <w:rsid w:val="39C5717E"/>
    <w:rsid w:val="3F517F47"/>
    <w:rsid w:val="42E155E5"/>
    <w:rsid w:val="438F3532"/>
    <w:rsid w:val="64E91F15"/>
    <w:rsid w:val="663368CA"/>
    <w:rsid w:val="7BF77FC8"/>
    <w:rsid w:val="7DE70F53"/>
    <w:rsid w:val="7E6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2021-12-14T02:54:53Z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39E13BC8C00B4A9F99D2DCA769DD8EE7</vt:lpwstr>
  </property>
</Properties>
</file>